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sidR="00DA7B88">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sidR="00DA7B88">
        <w:rPr>
          <w:rFonts w:ascii="Arial" w:eastAsia="Batang" w:hAnsi="Arial" w:cs="Arial"/>
          <w:b/>
          <w:bCs/>
          <w:lang w:val="en-GB"/>
        </w:rPr>
        <w:t>3</w:t>
      </w:r>
      <w:r w:rsidR="004F01D4">
        <w:rPr>
          <w:rFonts w:ascii="Arial" w:eastAsia="Batang" w:hAnsi="Arial" w:cs="Arial"/>
          <w:b/>
          <w:bCs/>
          <w:lang w:val="en-GB"/>
        </w:rPr>
        <w:t>00390</w:t>
      </w:r>
    </w:p>
    <w:p w:rsidR="00DA7B88" w:rsidRPr="00DA7B88" w:rsidRDefault="00DA7B88" w:rsidP="00DA7B88">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253282" w:rsidRPr="00D86AA7" w:rsidRDefault="00253282" w:rsidP="00253282">
      <w:pPr>
        <w:tabs>
          <w:tab w:val="center" w:pos="4536"/>
          <w:tab w:val="right" w:pos="9072"/>
        </w:tabs>
        <w:rPr>
          <w:rFonts w:ascii="Arial" w:eastAsia="Batang" w:hAnsi="Arial" w:cs="Arial"/>
          <w:b/>
          <w:bCs/>
          <w:lang w:val="en-GB"/>
        </w:rPr>
      </w:pP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EB26B6">
        <w:rPr>
          <w:sz w:val="22"/>
          <w:szCs w:val="22"/>
        </w:rPr>
        <w:t>8.1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EB26B6">
        <w:rPr>
          <w:sz w:val="22"/>
          <w:szCs w:val="22"/>
        </w:rPr>
        <w:t xml:space="preserve">Clarification on </w:t>
      </w:r>
      <w:r w:rsidR="00DA7B88">
        <w:rPr>
          <w:sz w:val="22"/>
          <w:szCs w:val="22"/>
        </w:rPr>
        <w:t>HARQ-ACK for Unified TCI Indication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DA7B88" w:rsidP="00557396">
      <w:pPr>
        <w:pStyle w:val="0Maintext"/>
        <w:spacing w:after="120" w:afterAutospacing="0" w:line="240" w:lineRule="auto"/>
        <w:ind w:firstLine="0"/>
        <w:rPr>
          <w:rFonts w:eastAsiaTheme="minorEastAsia"/>
          <w:lang w:val="en-US" w:eastAsia="zh-CN"/>
        </w:rPr>
      </w:pPr>
      <w:r>
        <w:rPr>
          <w:lang w:val="en-US"/>
        </w:rPr>
        <w:t>For DCI based TCI indication, the following is defined in 38.214</w:t>
      </w:r>
      <w:r w:rsidR="00EB26B6">
        <w:rPr>
          <w:lang w:val="en-US"/>
        </w:rPr>
        <w:t>.</w:t>
      </w:r>
    </w:p>
    <w:tbl>
      <w:tblPr>
        <w:tblStyle w:val="TableGrid"/>
        <w:tblW w:w="0" w:type="auto"/>
        <w:tblLook w:val="04A0" w:firstRow="1" w:lastRow="0" w:firstColumn="1" w:lastColumn="0" w:noHBand="0" w:noVBand="1"/>
      </w:tblPr>
      <w:tblGrid>
        <w:gridCol w:w="9010"/>
      </w:tblGrid>
      <w:tr w:rsidR="00557396" w:rsidRPr="00EB26B6" w:rsidTr="00557396">
        <w:tc>
          <w:tcPr>
            <w:tcW w:w="9010" w:type="dxa"/>
          </w:tcPr>
          <w:p w:rsidR="00557396" w:rsidRPr="00EB26B6" w:rsidRDefault="00DA7B88" w:rsidP="00DA7B88">
            <w:pPr>
              <w:pStyle w:val="B4"/>
              <w:spacing w:after="0" w:line="240" w:lineRule="auto"/>
              <w:ind w:left="0" w:firstLine="0"/>
              <w:rPr>
                <w:szCs w:val="20"/>
              </w:rPr>
            </w:pPr>
            <w:r w:rsidRPr="003450AF">
              <w:rPr>
                <w:color w:val="000000" w:themeColor="text1"/>
              </w:rPr>
              <w:t xml:space="preserve">When the </w:t>
            </w:r>
            <w:r>
              <w:rPr>
                <w:rFonts w:hint="eastAsia"/>
              </w:rPr>
              <w:t>UE would transmit a PUCCH with</w:t>
            </w:r>
            <w:r w:rsidRPr="003450AF">
              <w:rPr>
                <w:color w:val="000000" w:themeColor="text1"/>
              </w:rPr>
              <w:t xml:space="preserve"> HARQ-ACK </w:t>
            </w:r>
            <w:r>
              <w:rPr>
                <w:rFonts w:hint="eastAsia"/>
              </w:rPr>
              <w:t xml:space="preserve">information </w:t>
            </w:r>
            <w:r>
              <w:t xml:space="preserve">or a PUSCH </w:t>
            </w:r>
            <w:r w:rsidRPr="00DA7B88">
              <w:rPr>
                <w:highlight w:val="yellow"/>
              </w:rPr>
              <w:t>with HARQ-ACK information</w:t>
            </w:r>
            <w:r>
              <w:t xml:space="preserve"> </w:t>
            </w:r>
            <w:r w:rsidRPr="003450AF">
              <w:rPr>
                <w:color w:val="000000" w:themeColor="text1"/>
              </w:rPr>
              <w:t xml:space="preserve">corresponding to the </w:t>
            </w:r>
            <w:r>
              <w:rPr>
                <w:color w:val="000000" w:themeColor="text1"/>
              </w:rPr>
              <w:t>DCI</w:t>
            </w:r>
            <w:r w:rsidRPr="003450AF">
              <w:rPr>
                <w:color w:val="000000" w:themeColor="text1"/>
              </w:rPr>
              <w:t xml:space="preserve"> carrying the </w:t>
            </w:r>
            <w:r w:rsidRPr="00B2520D">
              <w:rPr>
                <w:color w:val="000000" w:themeColor="text1"/>
              </w:rPr>
              <w:t>TCI</w:t>
            </w:r>
            <w:r>
              <w:rPr>
                <w:color w:val="000000" w:themeColor="text1"/>
              </w:rPr>
              <w:t xml:space="preserve"> </w:t>
            </w:r>
            <w:r w:rsidRPr="00B2520D">
              <w:rPr>
                <w:color w:val="000000" w:themeColor="text1"/>
              </w:rPr>
              <w:t>State</w:t>
            </w:r>
            <w:r>
              <w:rPr>
                <w:color w:val="000000" w:themeColor="text1"/>
              </w:rPr>
              <w:t xml:space="preserve"> indicatio</w:t>
            </w:r>
            <w:r w:rsidRPr="00F52E36">
              <w:rPr>
                <w:color w:val="000000" w:themeColor="text1"/>
              </w:rPr>
              <w:t xml:space="preserve">n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rPr>
              <w:t>TCI</w:t>
            </w:r>
            <w:r>
              <w:rPr>
                <w:color w:val="000000" w:themeColor="text1"/>
              </w:rPr>
              <w:t xml:space="preserve"> </w:t>
            </w:r>
            <w:r w:rsidRPr="00B2520D">
              <w:rPr>
                <w:color w:val="000000" w:themeColor="text1"/>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rPr>
              <w:t>an</w:t>
            </w:r>
            <w:r w:rsidRPr="00C85ED2">
              <w:rPr>
                <w:color w:val="000000" w:themeColor="text1"/>
              </w:rPr>
              <w:t>d</w:t>
            </w:r>
            <w:r>
              <w:rPr>
                <w:color w:val="000000" w:themeColor="text1"/>
              </w:rPr>
              <w:t xml:space="preserve"> if</w:t>
            </w:r>
            <w:r w:rsidRPr="00C85ED2">
              <w:rPr>
                <w:color w:val="000000" w:themeColor="text1"/>
              </w:rPr>
              <w:t xml:space="preserve"> the</w:t>
            </w:r>
            <w:r w:rsidRPr="001924E6">
              <w:rPr>
                <w:color w:val="000000" w:themeColor="text1"/>
              </w:rPr>
              <w:t xml:space="preserve"> indicated </w:t>
            </w:r>
            <w:r w:rsidRPr="00B2520D">
              <w:rPr>
                <w:color w:val="000000" w:themeColor="text1"/>
              </w:rPr>
              <w:t>TCI</w:t>
            </w:r>
            <w:r>
              <w:rPr>
                <w:color w:val="000000" w:themeColor="text1"/>
              </w:rPr>
              <w:t xml:space="preserve"> </w:t>
            </w:r>
            <w:r w:rsidRPr="00B2520D">
              <w:rPr>
                <w:color w:val="000000" w:themeColor="text1"/>
              </w:rPr>
              <w:t>State</w:t>
            </w:r>
            <w:r w:rsidRPr="001924E6">
              <w:rPr>
                <w:color w:val="000000" w:themeColor="text1"/>
              </w:rPr>
              <w:t xml:space="preserve"> </w:t>
            </w:r>
            <w:r w:rsidRPr="00C85ED2">
              <w:rPr>
                <w:color w:val="000000" w:themeColor="text1"/>
              </w:rPr>
              <w:t xml:space="preserve">is different from the previously indicated one, the </w:t>
            </w:r>
            <w:r w:rsidRPr="0080696C">
              <w:rPr>
                <w:color w:val="000000" w:themeColor="text1"/>
              </w:rPr>
              <w:t>indicated</w:t>
            </w:r>
            <w:r>
              <w:rPr>
                <w:i/>
                <w:iCs/>
                <w:color w:val="000000" w:themeColor="text1"/>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rPr>
              <w:t>should be applied starting from</w:t>
            </w:r>
            <w:r w:rsidRPr="0056430A">
              <w:rPr>
                <w:color w:val="000000" w:themeColor="text1"/>
              </w:rPr>
              <w:t xml:space="preserve"> </w:t>
            </w:r>
            <w:r w:rsidRPr="00112073">
              <w:rPr>
                <w:color w:val="000000" w:themeColor="text1"/>
              </w:rPr>
              <w:t xml:space="preserve">the first slot that is </w:t>
            </w:r>
            <w:r>
              <w:rPr>
                <w:color w:val="000000" w:themeColor="text1"/>
              </w:rPr>
              <w:t xml:space="preserve">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E2118A">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rPr>
              <w:t xml:space="preserve">. The first slot and the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r>
              <w:t>.</w:t>
            </w:r>
          </w:p>
        </w:tc>
      </w:tr>
    </w:tbl>
    <w:p w:rsidR="00DA7B88" w:rsidRDefault="00DA7B88" w:rsidP="00557396">
      <w:pPr>
        <w:pStyle w:val="0Maintext"/>
        <w:spacing w:after="120" w:afterAutospacing="0" w:line="240" w:lineRule="auto"/>
        <w:ind w:firstLine="0"/>
        <w:rPr>
          <w:lang w:val="en-US"/>
        </w:rPr>
      </w:pPr>
    </w:p>
    <w:p w:rsidR="00DA7B88" w:rsidRDefault="00DA7B88" w:rsidP="00557396">
      <w:pPr>
        <w:pStyle w:val="0Maintext"/>
        <w:spacing w:after="120" w:afterAutospacing="0" w:line="240" w:lineRule="auto"/>
        <w:ind w:firstLine="0"/>
        <w:rPr>
          <w:lang w:val="en-US"/>
        </w:rPr>
      </w:pPr>
      <w:r>
        <w:rPr>
          <w:lang w:val="en-US"/>
        </w:rPr>
        <w:t>According to some discussion in RAN1 #111, there were two different interpretations on the highlighted words “HARQ-ACK information”:</w:t>
      </w:r>
    </w:p>
    <w:p w:rsidR="00DA7B88" w:rsidRPr="00662495" w:rsidRDefault="00DA7B88" w:rsidP="00DA7B88">
      <w:pPr>
        <w:pStyle w:val="0Maintext"/>
        <w:numPr>
          <w:ilvl w:val="0"/>
          <w:numId w:val="28"/>
        </w:numPr>
        <w:spacing w:after="120" w:afterAutospacing="0" w:line="240" w:lineRule="auto"/>
        <w:rPr>
          <w:b/>
          <w:bCs/>
          <w:lang w:val="en-US"/>
        </w:rPr>
      </w:pPr>
      <w:r w:rsidRPr="00662495">
        <w:rPr>
          <w:b/>
          <w:bCs/>
          <w:lang w:val="en-US"/>
        </w:rPr>
        <w:t>Interpretation 1: “HARQ-ACK information” indicates ACK only</w:t>
      </w:r>
    </w:p>
    <w:p w:rsidR="00DA7B88" w:rsidRPr="00662495" w:rsidRDefault="00DA7B88" w:rsidP="00DA7B88">
      <w:pPr>
        <w:pStyle w:val="0Maintext"/>
        <w:numPr>
          <w:ilvl w:val="0"/>
          <w:numId w:val="28"/>
        </w:numPr>
        <w:spacing w:after="120" w:afterAutospacing="0" w:line="240" w:lineRule="auto"/>
        <w:rPr>
          <w:b/>
          <w:bCs/>
          <w:lang w:val="en-US"/>
        </w:rPr>
      </w:pPr>
      <w:r w:rsidRPr="00662495">
        <w:rPr>
          <w:b/>
          <w:bCs/>
          <w:lang w:val="en-US"/>
        </w:rPr>
        <w:t>Interpretation 2: “HARQ-ACK information” indicates ACK and NACK</w:t>
      </w:r>
    </w:p>
    <w:p w:rsidR="00EB26B6" w:rsidRDefault="00EB26B6" w:rsidP="00557396">
      <w:pPr>
        <w:pStyle w:val="0Maintext"/>
        <w:spacing w:after="120" w:afterAutospacing="0" w:line="240" w:lineRule="auto"/>
        <w:ind w:firstLine="0"/>
        <w:rPr>
          <w:lang w:val="en-US"/>
        </w:rPr>
      </w:pPr>
      <w:r>
        <w:rPr>
          <w:lang w:val="en-US"/>
        </w:rPr>
        <w:t xml:space="preserve">In this contribution, we provide some discussions on the </w:t>
      </w:r>
      <w:r w:rsidR="00DA7B88">
        <w:rPr>
          <w:lang w:val="en-US"/>
        </w:rPr>
        <w:t>clarification for the “HARQ-ACK information” for unified TCI indication</w:t>
      </w:r>
      <w:r w:rsidR="004D57C1">
        <w:rPr>
          <w:lang w:val="en-US"/>
        </w:rPr>
        <w:t>.</w:t>
      </w:r>
    </w:p>
    <w:p w:rsidR="001F1EBF" w:rsidRDefault="005B55AC" w:rsidP="001F1EBF">
      <w:pPr>
        <w:pStyle w:val="Heading1"/>
      </w:pPr>
      <w:r>
        <w:t>Discussion</w:t>
      </w:r>
    </w:p>
    <w:p w:rsidR="00DA7B88" w:rsidRDefault="00DA7B88" w:rsidP="004D57C1">
      <w:pPr>
        <w:pStyle w:val="0Maintext"/>
        <w:spacing w:after="120" w:afterAutospacing="0" w:line="240" w:lineRule="auto"/>
        <w:ind w:firstLine="0"/>
        <w:rPr>
          <w:lang w:val="en-US"/>
        </w:rPr>
      </w:pPr>
      <w:r>
        <w:rPr>
          <w:lang w:val="en-US"/>
        </w:rPr>
        <w:t>In 38.214, the following is defined for MAC CE based TCI activation.</w:t>
      </w:r>
    </w:p>
    <w:tbl>
      <w:tblPr>
        <w:tblStyle w:val="TableGrid"/>
        <w:tblW w:w="0" w:type="auto"/>
        <w:tblLook w:val="04A0" w:firstRow="1" w:lastRow="0" w:firstColumn="1" w:lastColumn="0" w:noHBand="0" w:noVBand="1"/>
      </w:tblPr>
      <w:tblGrid>
        <w:gridCol w:w="9010"/>
      </w:tblGrid>
      <w:tr w:rsidR="00DA7B88" w:rsidTr="00DA7B88">
        <w:tc>
          <w:tcPr>
            <w:tcW w:w="9010" w:type="dxa"/>
          </w:tcPr>
          <w:p w:rsidR="00DA7B88" w:rsidRPr="00DA7B88" w:rsidRDefault="00DA7B88" w:rsidP="00DA7B88">
            <w:pPr>
              <w:rPr>
                <w:color w:val="000000"/>
                <w:sz w:val="20"/>
                <w:szCs w:val="20"/>
              </w:rPr>
            </w:pPr>
            <w:r w:rsidRPr="00DA7B88">
              <w:rPr>
                <w:color w:val="000000" w:themeColor="text1"/>
                <w:sz w:val="20"/>
                <w:szCs w:val="20"/>
              </w:rPr>
              <w:t xml:space="preserve">When the </w:t>
            </w:r>
            <w:r w:rsidRPr="00DA7B88">
              <w:rPr>
                <w:sz w:val="20"/>
                <w:szCs w:val="20"/>
              </w:rPr>
              <w:t>UE would transmit a PUCCH with</w:t>
            </w:r>
            <w:r w:rsidRPr="00DA7B88">
              <w:rPr>
                <w:color w:val="000000" w:themeColor="text1"/>
                <w:sz w:val="20"/>
                <w:szCs w:val="20"/>
              </w:rPr>
              <w:t xml:space="preserve"> </w:t>
            </w:r>
            <w:r w:rsidRPr="00DA7B88">
              <w:rPr>
                <w:color w:val="000000" w:themeColor="text1"/>
                <w:sz w:val="20"/>
                <w:szCs w:val="20"/>
                <w:highlight w:val="yellow"/>
              </w:rPr>
              <w:t xml:space="preserve">HARQ-ACK </w:t>
            </w:r>
            <w:r w:rsidRPr="00DA7B88">
              <w:rPr>
                <w:sz w:val="20"/>
                <w:szCs w:val="20"/>
                <w:highlight w:val="yellow"/>
              </w:rPr>
              <w:t>information</w:t>
            </w:r>
            <w:r w:rsidRPr="00DA7B88">
              <w:rPr>
                <w:sz w:val="20"/>
                <w:szCs w:val="20"/>
              </w:rPr>
              <w:t xml:space="preserve"> in slot </w:t>
            </w:r>
            <w:r w:rsidRPr="00DA7B88">
              <w:rPr>
                <w:i/>
                <w:sz w:val="20"/>
                <w:szCs w:val="20"/>
              </w:rPr>
              <w:t>n</w:t>
            </w:r>
            <w:r w:rsidRPr="00DA7B88">
              <w:rPr>
                <w:color w:val="000000" w:themeColor="text1"/>
                <w:sz w:val="20"/>
                <w:szCs w:val="20"/>
              </w:rPr>
              <w:t xml:space="preserve"> corresponding to the PDSCH carrying the activation command, the indicated mapping between TCI states and codepoints of the DCI field </w:t>
            </w:r>
            <w:r w:rsidRPr="00DA7B88">
              <w:rPr>
                <w:i/>
                <w:iCs/>
                <w:color w:val="000000" w:themeColor="text1"/>
                <w:sz w:val="20"/>
                <w:szCs w:val="20"/>
              </w:rPr>
              <w:t>'Transmission Configuration Indication'</w:t>
            </w:r>
            <w:r w:rsidRPr="00DA7B88">
              <w:rPr>
                <w:color w:val="000000" w:themeColor="text1"/>
                <w:sz w:val="20"/>
                <w:szCs w:val="20"/>
              </w:rPr>
              <w:t xml:space="preserve"> should be applied starting from the first slot that is after slot</w:t>
            </w:r>
            <m:oMath>
              <m:r>
                <m:rPr>
                  <m:sty m:val="p"/>
                </m:rPr>
                <w:rPr>
                  <w:rFonts w:ascii="Cambria Math" w:hAnsi="Cambria Math"/>
                  <w:sz w:val="20"/>
                  <w:szCs w:val="20"/>
                </w:rPr>
                <m:t xml:space="preserve"> </m:t>
              </m:r>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lang w:val="x-none"/>
                    </w:rPr>
                  </m:ctrlPr>
                </m:sSubPr>
                <m:e>
                  <m:f>
                    <m:fPr>
                      <m:ctrlPr>
                        <w:rPr>
                          <w:rFonts w:ascii="Cambria Math" w:hAnsi="Cambria Math"/>
                          <w:sz w:val="20"/>
                          <w:szCs w:val="20"/>
                        </w:rPr>
                      </m:ctrlPr>
                    </m:fPr>
                    <m:num>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sup>
                      </m:sSup>
                    </m:den>
                  </m:f>
                  <m:r>
                    <w:rPr>
                      <w:rFonts w:ascii="Cambria Math" w:eastAsia="MS Mincho" w:hAnsi="Cambria Math"/>
                      <w:kern w:val="2"/>
                      <w:sz w:val="20"/>
                      <w:szCs w:val="20"/>
                    </w:rPr>
                    <m:t>∙</m:t>
                  </m:r>
                  <m:r>
                    <w:rPr>
                      <w:rFonts w:ascii="Cambria Math" w:hAnsi="Cambria Math"/>
                      <w:sz w:val="20"/>
                      <w:szCs w:val="20"/>
                    </w:rPr>
                    <m:t>k</m:t>
                  </m:r>
                </m:e>
                <m:sub>
                  <m:r>
                    <m:rPr>
                      <m:sty m:val="p"/>
                    </m:rPr>
                    <w:rPr>
                      <w:rFonts w:ascii="Cambria Math" w:hAnsi="Cambria Math"/>
                      <w:sz w:val="20"/>
                      <w:szCs w:val="20"/>
                    </w:rPr>
                    <m:t>mac</m:t>
                  </m:r>
                </m:sub>
              </m:sSub>
            </m:oMath>
            <w:r w:rsidRPr="00DA7B88">
              <w:rPr>
                <w:sz w:val="20"/>
                <w:szCs w:val="20"/>
              </w:rPr>
              <w:t xml:space="preserve"> where </w:t>
            </w:r>
            <w:r w:rsidRPr="00DA7B88">
              <w:rPr>
                <w:i/>
                <w:sz w:val="20"/>
                <w:szCs w:val="20"/>
              </w:rPr>
              <w:t></w:t>
            </w:r>
            <w:r w:rsidRPr="00DA7B88">
              <w:rPr>
                <w:sz w:val="20"/>
                <w:szCs w:val="20"/>
              </w:rPr>
              <w:t xml:space="preserve"> is the SCS configuration for the PUCCH and</w:t>
            </w:r>
            <w:r w:rsidRPr="00DA7B88">
              <w:rPr>
                <w:rFonts w:eastAsia="MS Mincho"/>
                <w:sz w:val="20"/>
                <w:szCs w:val="20"/>
                <w:lang w:eastAsia="ja-JP"/>
              </w:rPr>
              <w:t xml:space="preserve"> </w:t>
            </w:r>
            <m:oMath>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r>
                <w:rPr>
                  <w:rFonts w:ascii="Cambria Math" w:hAnsi="Cambria Math"/>
                  <w:sz w:val="20"/>
                  <w:szCs w:val="20"/>
                </w:rPr>
                <m:t xml:space="preserve"> </m:t>
              </m:r>
            </m:oMath>
            <w:r w:rsidRPr="00DA7B88">
              <w:rPr>
                <w:rFonts w:eastAsia="MS Mincho"/>
                <w:sz w:val="20"/>
                <w:szCs w:val="20"/>
                <w:lang w:eastAsia="ja-JP"/>
              </w:rPr>
              <w:t xml:space="preserve">is the subcarrier spacing configuration for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mac</m:t>
                  </m:r>
                </m:sub>
              </m:sSub>
            </m:oMath>
            <w:r w:rsidRPr="00DA7B88">
              <w:rPr>
                <w:sz w:val="20"/>
                <w:szCs w:val="20"/>
              </w:rPr>
              <w:t xml:space="preserve"> with a value of 0 for frequency range 1, and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sidRPr="00DA7B88">
              <w:rPr>
                <w:sz w:val="20"/>
                <w:szCs w:val="20"/>
              </w:rPr>
              <w:t xml:space="preserve"> is provided by </w:t>
            </w:r>
            <w:r w:rsidRPr="00DA7B88">
              <w:rPr>
                <w:i/>
                <w:iCs/>
                <w:sz w:val="20"/>
                <w:szCs w:val="20"/>
              </w:rPr>
              <w:t>K-Mac</w:t>
            </w:r>
            <w:r w:rsidRPr="00DA7B88">
              <w:rPr>
                <w:sz w:val="20"/>
                <w:szCs w:val="20"/>
              </w:rPr>
              <w:t xml:space="preserve"> or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sidRPr="00DA7B88">
              <w:rPr>
                <w:sz w:val="20"/>
                <w:szCs w:val="20"/>
              </w:rPr>
              <w:t xml:space="preserve"> if </w:t>
            </w:r>
            <w:r w:rsidRPr="00DA7B88">
              <w:rPr>
                <w:i/>
                <w:iCs/>
                <w:sz w:val="20"/>
                <w:szCs w:val="20"/>
              </w:rPr>
              <w:t>K-Mac</w:t>
            </w:r>
            <w:r w:rsidRPr="00DA7B88">
              <w:rPr>
                <w:sz w:val="20"/>
                <w:szCs w:val="20"/>
              </w:rPr>
              <w:t xml:space="preserve"> is not provided. If </w:t>
            </w:r>
            <w:proofErr w:type="spellStart"/>
            <w:r w:rsidRPr="00DA7B88">
              <w:rPr>
                <w:i/>
                <w:sz w:val="20"/>
                <w:szCs w:val="20"/>
              </w:rPr>
              <w:t>tci-PresentInDCI</w:t>
            </w:r>
            <w:proofErr w:type="spellEnd"/>
            <w:r w:rsidRPr="00DA7B88">
              <w:rPr>
                <w:i/>
                <w:sz w:val="20"/>
                <w:szCs w:val="20"/>
              </w:rPr>
              <w:t xml:space="preserve"> </w:t>
            </w:r>
            <w:r w:rsidRPr="00DA7B88">
              <w:rPr>
                <w:sz w:val="20"/>
                <w:szCs w:val="20"/>
              </w:rPr>
              <w:t xml:space="preserve">is set to 'enabled' or </w:t>
            </w:r>
            <w:r w:rsidRPr="00DA7B88">
              <w:rPr>
                <w:i/>
                <w:sz w:val="20"/>
                <w:szCs w:val="20"/>
              </w:rPr>
              <w:t xml:space="preserve">tci-PresentDCI-1-2 </w:t>
            </w:r>
            <w:r w:rsidRPr="00DA7B88">
              <w:rPr>
                <w:sz w:val="20"/>
                <w:szCs w:val="20"/>
              </w:rPr>
              <w:t>is configured for the CORESET scheduling the PDSCH</w:t>
            </w:r>
            <w:r w:rsidRPr="00DA7B88">
              <w:rPr>
                <w:color w:val="000000" w:themeColor="text1"/>
                <w:sz w:val="20"/>
                <w:szCs w:val="20"/>
              </w:rPr>
              <w:t xml:space="preserve">, and the </w:t>
            </w:r>
            <w:r w:rsidRPr="00DA7B88">
              <w:rPr>
                <w:color w:val="000000"/>
                <w:sz w:val="20"/>
                <w:szCs w:val="20"/>
              </w:rPr>
              <w:t>time offset between the reception of the DL DCI and the corresponding PDSCH is</w:t>
            </w:r>
            <w:r w:rsidRPr="00DA7B88">
              <w:rPr>
                <w:color w:val="FF0000"/>
                <w:sz w:val="20"/>
                <w:szCs w:val="20"/>
              </w:rPr>
              <w:t xml:space="preserve"> </w:t>
            </w:r>
            <w:r w:rsidRPr="00DA7B88">
              <w:rPr>
                <w:color w:val="000000" w:themeColor="text1"/>
                <w:sz w:val="20"/>
                <w:szCs w:val="20"/>
              </w:rPr>
              <w:t xml:space="preserve">equal to or greater than </w:t>
            </w:r>
            <w:proofErr w:type="spellStart"/>
            <w:r w:rsidRPr="00DA7B88">
              <w:rPr>
                <w:i/>
                <w:color w:val="000000" w:themeColor="text1"/>
                <w:sz w:val="20"/>
                <w:szCs w:val="20"/>
              </w:rPr>
              <w:t>timeDurationForQCL</w:t>
            </w:r>
            <w:proofErr w:type="spellEnd"/>
            <w:r w:rsidRPr="00DA7B88">
              <w:rPr>
                <w:i/>
                <w:color w:val="000000" w:themeColor="text1"/>
                <w:sz w:val="20"/>
                <w:szCs w:val="20"/>
              </w:rPr>
              <w:t xml:space="preserve"> </w:t>
            </w:r>
            <w:r w:rsidRPr="00DA7B88">
              <w:rPr>
                <w:color w:val="000000" w:themeColor="text1"/>
                <w:sz w:val="20"/>
                <w:szCs w:val="20"/>
              </w:rPr>
              <w:t>if applicable,</w:t>
            </w:r>
            <w:r w:rsidRPr="00DA7B88">
              <w:rPr>
                <w:sz w:val="20"/>
                <w:szCs w:val="20"/>
              </w:rPr>
              <w:t xml:space="preserve"> a</w:t>
            </w:r>
            <w:r w:rsidRPr="00DA7B88">
              <w:rPr>
                <w:color w:val="000000"/>
                <w:sz w:val="20"/>
                <w:szCs w:val="2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DA7B88">
              <w:rPr>
                <w:i/>
                <w:color w:val="000000"/>
                <w:sz w:val="20"/>
                <w:szCs w:val="20"/>
              </w:rPr>
              <w:t>qcl</w:t>
            </w:r>
            <w:proofErr w:type="spellEnd"/>
            <w:r w:rsidRPr="00DA7B88">
              <w:rPr>
                <w:i/>
                <w:color w:val="000000"/>
                <w:sz w:val="20"/>
                <w:szCs w:val="20"/>
              </w:rPr>
              <w:t>-Type</w:t>
            </w:r>
            <w:r w:rsidRPr="00DA7B88">
              <w:rPr>
                <w:color w:val="000000"/>
                <w:sz w:val="20"/>
                <w:szCs w:val="20"/>
              </w:rPr>
              <w:t xml:space="preserve"> set to '</w:t>
            </w:r>
            <w:proofErr w:type="spellStart"/>
            <w:r w:rsidRPr="00DA7B88">
              <w:rPr>
                <w:color w:val="000000"/>
                <w:sz w:val="20"/>
                <w:szCs w:val="20"/>
              </w:rPr>
              <w:t>typeA</w:t>
            </w:r>
            <w:proofErr w:type="spellEnd"/>
            <w:r w:rsidRPr="00DA7B88">
              <w:rPr>
                <w:color w:val="000000"/>
                <w:sz w:val="20"/>
                <w:szCs w:val="20"/>
              </w:rPr>
              <w:t xml:space="preserve">', and when applicable, also with respect to </w:t>
            </w:r>
            <w:proofErr w:type="spellStart"/>
            <w:r w:rsidRPr="00DA7B88">
              <w:rPr>
                <w:i/>
                <w:color w:val="000000"/>
                <w:sz w:val="20"/>
                <w:szCs w:val="20"/>
              </w:rPr>
              <w:t>qcl</w:t>
            </w:r>
            <w:proofErr w:type="spellEnd"/>
            <w:r w:rsidRPr="00DA7B88">
              <w:rPr>
                <w:i/>
                <w:color w:val="000000"/>
                <w:sz w:val="20"/>
                <w:szCs w:val="20"/>
              </w:rPr>
              <w:t>-Type</w:t>
            </w:r>
            <w:r w:rsidRPr="00DA7B88">
              <w:rPr>
                <w:color w:val="000000"/>
                <w:sz w:val="20"/>
                <w:szCs w:val="20"/>
              </w:rPr>
              <w:t xml:space="preserve"> set to '</w:t>
            </w:r>
            <w:proofErr w:type="spellStart"/>
            <w:r w:rsidRPr="00DA7B88">
              <w:rPr>
                <w:color w:val="000000"/>
                <w:sz w:val="20"/>
                <w:szCs w:val="20"/>
              </w:rPr>
              <w:t>typeD</w:t>
            </w:r>
            <w:proofErr w:type="spellEnd"/>
            <w:r w:rsidRPr="00DA7B88">
              <w:rPr>
                <w:color w:val="000000"/>
                <w:sz w:val="20"/>
                <w:szCs w:val="20"/>
              </w:rPr>
              <w:t xml:space="preserve">'. </w:t>
            </w:r>
          </w:p>
          <w:p w:rsidR="00DA7B88" w:rsidRDefault="00DA7B88" w:rsidP="004D57C1">
            <w:pPr>
              <w:pStyle w:val="0Maintext"/>
              <w:spacing w:after="120" w:afterAutospacing="0" w:line="240" w:lineRule="auto"/>
              <w:ind w:firstLine="0"/>
              <w:rPr>
                <w:lang w:val="en-US"/>
              </w:rPr>
            </w:pPr>
          </w:p>
        </w:tc>
      </w:tr>
    </w:tbl>
    <w:p w:rsidR="00DA7B88" w:rsidRDefault="00DA7B88" w:rsidP="004D57C1">
      <w:pPr>
        <w:pStyle w:val="0Maintext"/>
        <w:spacing w:after="120" w:afterAutospacing="0" w:line="240" w:lineRule="auto"/>
        <w:ind w:firstLine="0"/>
        <w:rPr>
          <w:lang w:val="en-US"/>
        </w:rPr>
      </w:pPr>
    </w:p>
    <w:p w:rsidR="001754C8" w:rsidRDefault="001754C8" w:rsidP="004D57C1">
      <w:pPr>
        <w:pStyle w:val="0Maintext"/>
        <w:spacing w:after="120" w:afterAutospacing="0" w:line="240" w:lineRule="auto"/>
        <w:ind w:firstLine="0"/>
        <w:rPr>
          <w:lang w:val="en-US"/>
        </w:rPr>
      </w:pPr>
      <w:r>
        <w:rPr>
          <w:lang w:val="en-US"/>
        </w:rPr>
        <w:t>The “HARQ-ACK information” for the MAC CE based TCI activation should indicate the ACK only, since the UE cannot decode the MAC CE successfully if it fails to decode the PDSCH. Therefore, the same principle should be applied to DCI based unified TCI indication, where the “HARQ-ACK information” indicates ACK only. It should be concluded that interpretation 1 that “HARQ-ACK information” indicates ACK only should be correct for DCI based unified TCI indication.</w:t>
      </w:r>
    </w:p>
    <w:p w:rsidR="001754C8" w:rsidRPr="001754C8" w:rsidRDefault="001754C8" w:rsidP="004D57C1">
      <w:pPr>
        <w:pStyle w:val="0Maintext"/>
        <w:spacing w:after="120" w:afterAutospacing="0" w:line="240" w:lineRule="auto"/>
        <w:ind w:firstLine="0"/>
        <w:rPr>
          <w:b/>
          <w:bCs/>
          <w:i/>
          <w:iCs/>
          <w:lang w:val="en-US"/>
        </w:rPr>
      </w:pPr>
      <w:r w:rsidRPr="001754C8">
        <w:rPr>
          <w:b/>
          <w:bCs/>
          <w:i/>
          <w:iCs/>
          <w:lang w:val="en-US"/>
        </w:rPr>
        <w:lastRenderedPageBreak/>
        <w:t>Proposal 1: RAN1 shall conclude that for DCI based unified TCI indication the UE shall not apply the indicated TCI if it reports a NACK corresponding to the PDSCH scheduled by the DCI.</w:t>
      </w:r>
    </w:p>
    <w:p w:rsidR="00C42331" w:rsidRPr="0061491E" w:rsidRDefault="00C42331"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754C8">
        <w:rPr>
          <w:lang w:val="en-US" w:eastAsia="zh-CN"/>
        </w:rPr>
        <w:t>clarification for HARQ-ACK for unified TCI indication</w:t>
      </w:r>
      <w:r>
        <w:rPr>
          <w:lang w:val="en-US" w:eastAsia="zh-CN"/>
        </w:rPr>
        <w:t>. Based on the discussion, the following proposals have been achieved.</w:t>
      </w:r>
    </w:p>
    <w:p w:rsidR="001754C8" w:rsidRPr="001754C8" w:rsidRDefault="001754C8" w:rsidP="001754C8">
      <w:pPr>
        <w:pStyle w:val="0Maintext"/>
        <w:spacing w:after="120" w:afterAutospacing="0" w:line="240" w:lineRule="auto"/>
        <w:ind w:firstLine="0"/>
        <w:rPr>
          <w:b/>
          <w:bCs/>
          <w:i/>
          <w:iCs/>
          <w:lang w:val="en-US"/>
        </w:rPr>
      </w:pPr>
      <w:r w:rsidRPr="001754C8">
        <w:rPr>
          <w:b/>
          <w:bCs/>
          <w:i/>
          <w:iCs/>
          <w:lang w:val="en-US"/>
        </w:rPr>
        <w:t>Proposal 1: RAN1 shall conclude that for DCI based unified TCI indication the UE shall not apply the indicated TCI if it reports a NACK corresponding to the PDSCH scheduled by the DCI.</w:t>
      </w:r>
    </w:p>
    <w:p w:rsidR="00FF28A9" w:rsidRPr="00F92E33" w:rsidRDefault="00FF28A9" w:rsidP="00C42331">
      <w:pPr>
        <w:pStyle w:val="0Maintext"/>
        <w:spacing w:after="120" w:afterAutospacing="0" w:line="240" w:lineRule="auto"/>
        <w:ind w:firstLine="0"/>
        <w:rPr>
          <w:b/>
          <w:i/>
          <w:lang w:val="en-US"/>
        </w:rPr>
      </w:pPr>
    </w:p>
    <w:sectPr w:rsidR="00FF28A9"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EE1DB7"/>
    <w:multiLevelType w:val="hybridMultilevel"/>
    <w:tmpl w:val="4D08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564DE5"/>
    <w:multiLevelType w:val="hybridMultilevel"/>
    <w:tmpl w:val="09CC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3"/>
  </w:num>
  <w:num w:numId="3" w16cid:durableId="1291010930">
    <w:abstractNumId w:val="17"/>
  </w:num>
  <w:num w:numId="4" w16cid:durableId="1095134973">
    <w:abstractNumId w:val="16"/>
  </w:num>
  <w:num w:numId="5" w16cid:durableId="1641223975">
    <w:abstractNumId w:val="9"/>
  </w:num>
  <w:num w:numId="6" w16cid:durableId="564610010">
    <w:abstractNumId w:val="20"/>
  </w:num>
  <w:num w:numId="7" w16cid:durableId="577132295">
    <w:abstractNumId w:val="4"/>
  </w:num>
  <w:num w:numId="8" w16cid:durableId="617444232">
    <w:abstractNumId w:val="8"/>
  </w:num>
  <w:num w:numId="9" w16cid:durableId="1741826848">
    <w:abstractNumId w:val="15"/>
  </w:num>
  <w:num w:numId="10" w16cid:durableId="204176157">
    <w:abstractNumId w:val="21"/>
  </w:num>
  <w:num w:numId="11" w16cid:durableId="2075464340">
    <w:abstractNumId w:val="26"/>
  </w:num>
  <w:num w:numId="12" w16cid:durableId="134567778">
    <w:abstractNumId w:val="11"/>
  </w:num>
  <w:num w:numId="13" w16cid:durableId="1036003743">
    <w:abstractNumId w:val="19"/>
  </w:num>
  <w:num w:numId="14" w16cid:durableId="1516190854">
    <w:abstractNumId w:val="3"/>
  </w:num>
  <w:num w:numId="15" w16cid:durableId="667904329">
    <w:abstractNumId w:val="25"/>
  </w:num>
  <w:num w:numId="16" w16cid:durableId="749228951">
    <w:abstractNumId w:val="22"/>
  </w:num>
  <w:num w:numId="17" w16cid:durableId="654139330">
    <w:abstractNumId w:val="23"/>
  </w:num>
  <w:num w:numId="18" w16cid:durableId="37442205">
    <w:abstractNumId w:val="18"/>
  </w:num>
  <w:num w:numId="19" w16cid:durableId="452796089">
    <w:abstractNumId w:val="17"/>
  </w:num>
  <w:num w:numId="20" w16cid:durableId="947349516">
    <w:abstractNumId w:val="12"/>
  </w:num>
  <w:num w:numId="21" w16cid:durableId="123163289">
    <w:abstractNumId w:val="6"/>
  </w:num>
  <w:num w:numId="22" w16cid:durableId="892035091">
    <w:abstractNumId w:val="5"/>
  </w:num>
  <w:num w:numId="23" w16cid:durableId="1978486">
    <w:abstractNumId w:val="2"/>
  </w:num>
  <w:num w:numId="24" w16cid:durableId="1452360992">
    <w:abstractNumId w:val="7"/>
  </w:num>
  <w:num w:numId="25" w16cid:durableId="501893973">
    <w:abstractNumId w:val="14"/>
  </w:num>
  <w:num w:numId="26" w16cid:durableId="766006395">
    <w:abstractNumId w:val="1"/>
  </w:num>
  <w:num w:numId="27" w16cid:durableId="700981669">
    <w:abstractNumId w:val="24"/>
  </w:num>
  <w:num w:numId="28" w16cid:durableId="211697638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60ED"/>
    <w:rsid w:val="00122039"/>
    <w:rsid w:val="00122C70"/>
    <w:rsid w:val="0015468B"/>
    <w:rsid w:val="001754C8"/>
    <w:rsid w:val="001922F1"/>
    <w:rsid w:val="001D3923"/>
    <w:rsid w:val="001D7163"/>
    <w:rsid w:val="001E1D5D"/>
    <w:rsid w:val="001E4CFE"/>
    <w:rsid w:val="001F1EBF"/>
    <w:rsid w:val="00226209"/>
    <w:rsid w:val="00253282"/>
    <w:rsid w:val="002548E6"/>
    <w:rsid w:val="00275881"/>
    <w:rsid w:val="002D719B"/>
    <w:rsid w:val="00303A87"/>
    <w:rsid w:val="0030732C"/>
    <w:rsid w:val="00330D34"/>
    <w:rsid w:val="00346E6B"/>
    <w:rsid w:val="00356E4B"/>
    <w:rsid w:val="00375357"/>
    <w:rsid w:val="003976BE"/>
    <w:rsid w:val="003C00AB"/>
    <w:rsid w:val="003D2036"/>
    <w:rsid w:val="003D4627"/>
    <w:rsid w:val="003F4028"/>
    <w:rsid w:val="00417C58"/>
    <w:rsid w:val="00431006"/>
    <w:rsid w:val="00431501"/>
    <w:rsid w:val="00431BE9"/>
    <w:rsid w:val="00477892"/>
    <w:rsid w:val="00491EBA"/>
    <w:rsid w:val="004951DA"/>
    <w:rsid w:val="004B588D"/>
    <w:rsid w:val="004C65E3"/>
    <w:rsid w:val="004D57C1"/>
    <w:rsid w:val="004F01D4"/>
    <w:rsid w:val="0050593E"/>
    <w:rsid w:val="00557396"/>
    <w:rsid w:val="005635BB"/>
    <w:rsid w:val="005A2726"/>
    <w:rsid w:val="005B55AC"/>
    <w:rsid w:val="00606763"/>
    <w:rsid w:val="0061491E"/>
    <w:rsid w:val="00640857"/>
    <w:rsid w:val="00660865"/>
    <w:rsid w:val="00662495"/>
    <w:rsid w:val="00687F40"/>
    <w:rsid w:val="006A5206"/>
    <w:rsid w:val="006E53C6"/>
    <w:rsid w:val="006F4725"/>
    <w:rsid w:val="007520FE"/>
    <w:rsid w:val="00763A34"/>
    <w:rsid w:val="00781DD5"/>
    <w:rsid w:val="00792998"/>
    <w:rsid w:val="007A63FA"/>
    <w:rsid w:val="007B3C24"/>
    <w:rsid w:val="007F3937"/>
    <w:rsid w:val="00826E9C"/>
    <w:rsid w:val="00843244"/>
    <w:rsid w:val="008443A3"/>
    <w:rsid w:val="008766FE"/>
    <w:rsid w:val="008864BC"/>
    <w:rsid w:val="008A6337"/>
    <w:rsid w:val="008C065D"/>
    <w:rsid w:val="008D04EC"/>
    <w:rsid w:val="008D4BCD"/>
    <w:rsid w:val="008E42B2"/>
    <w:rsid w:val="008E7132"/>
    <w:rsid w:val="00905082"/>
    <w:rsid w:val="00906A9A"/>
    <w:rsid w:val="00914B21"/>
    <w:rsid w:val="00922457"/>
    <w:rsid w:val="009366FD"/>
    <w:rsid w:val="00953F61"/>
    <w:rsid w:val="009B0A18"/>
    <w:rsid w:val="009C1B6C"/>
    <w:rsid w:val="009C1CAB"/>
    <w:rsid w:val="009D0133"/>
    <w:rsid w:val="009E3DB7"/>
    <w:rsid w:val="009E5063"/>
    <w:rsid w:val="009F2D93"/>
    <w:rsid w:val="009F6087"/>
    <w:rsid w:val="00A17BEA"/>
    <w:rsid w:val="00A316C9"/>
    <w:rsid w:val="00A42238"/>
    <w:rsid w:val="00A448D2"/>
    <w:rsid w:val="00A90297"/>
    <w:rsid w:val="00A93065"/>
    <w:rsid w:val="00AA2E73"/>
    <w:rsid w:val="00AC0A67"/>
    <w:rsid w:val="00AD4009"/>
    <w:rsid w:val="00AE467A"/>
    <w:rsid w:val="00B01671"/>
    <w:rsid w:val="00B02C9F"/>
    <w:rsid w:val="00B1188E"/>
    <w:rsid w:val="00B3722D"/>
    <w:rsid w:val="00B71A0E"/>
    <w:rsid w:val="00B8306C"/>
    <w:rsid w:val="00B93343"/>
    <w:rsid w:val="00BA48C8"/>
    <w:rsid w:val="00BE15BB"/>
    <w:rsid w:val="00C031C3"/>
    <w:rsid w:val="00C03A21"/>
    <w:rsid w:val="00C04D65"/>
    <w:rsid w:val="00C10D36"/>
    <w:rsid w:val="00C132FE"/>
    <w:rsid w:val="00C1419D"/>
    <w:rsid w:val="00C27E72"/>
    <w:rsid w:val="00C42331"/>
    <w:rsid w:val="00C46EAA"/>
    <w:rsid w:val="00C60D93"/>
    <w:rsid w:val="00C9103E"/>
    <w:rsid w:val="00C9405F"/>
    <w:rsid w:val="00CB1727"/>
    <w:rsid w:val="00CF6D54"/>
    <w:rsid w:val="00D0763A"/>
    <w:rsid w:val="00D13E1E"/>
    <w:rsid w:val="00D1450B"/>
    <w:rsid w:val="00D518D9"/>
    <w:rsid w:val="00D542B4"/>
    <w:rsid w:val="00D616A3"/>
    <w:rsid w:val="00D719D5"/>
    <w:rsid w:val="00D734BD"/>
    <w:rsid w:val="00D97433"/>
    <w:rsid w:val="00DA2FD9"/>
    <w:rsid w:val="00DA6558"/>
    <w:rsid w:val="00DA7B88"/>
    <w:rsid w:val="00DC01E8"/>
    <w:rsid w:val="00DC200A"/>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26B6"/>
    <w:rsid w:val="00EF1059"/>
    <w:rsid w:val="00F237C9"/>
    <w:rsid w:val="00F31ED8"/>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7261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 w:type="paragraph" w:customStyle="1" w:styleId="B4">
    <w:name w:val="B4"/>
    <w:basedOn w:val="Normal"/>
    <w:qFormat/>
    <w:rsid w:val="00EB26B6"/>
    <w:pPr>
      <w:spacing w:after="200" w:line="276" w:lineRule="auto"/>
      <w:ind w:left="1418" w:hanging="284"/>
    </w:pPr>
    <w:rPr>
      <w:rFonts w:eastAsia="t"/>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2023-02-03T05:35:00Z</dcterms:created>
  <dcterms:modified xsi:type="dcterms:W3CDTF">2023-02-14T03:19:00Z</dcterms:modified>
</cp:coreProperties>
</file>